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A2" w:rsidRDefault="00AD14A2" w:rsidP="00206897">
      <w:pPr>
        <w:spacing w:after="0"/>
        <w:jc w:val="both"/>
        <w:rPr>
          <w:b/>
        </w:rPr>
      </w:pPr>
      <w:r>
        <w:rPr>
          <w:noProof/>
          <w:lang w:eastAsia="fr-FR"/>
        </w:rPr>
        <w:t xml:space="preserve"> </w:t>
      </w:r>
      <w:r w:rsidRPr="00AD14A2">
        <w:rPr>
          <w:b/>
        </w:rPr>
        <w:t xml:space="preserve">Clémentine Bosch-Bouju, </w:t>
      </w:r>
      <w:proofErr w:type="spellStart"/>
      <w:r w:rsidRPr="00AD14A2">
        <w:rPr>
          <w:b/>
        </w:rPr>
        <w:t>postdoc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NutriNeuro</w:t>
      </w:r>
      <w:proofErr w:type="spellEnd"/>
    </w:p>
    <w:p w:rsidR="00AD14A2" w:rsidRPr="00AD14A2" w:rsidRDefault="00AD14A2" w:rsidP="00206897">
      <w:pPr>
        <w:spacing w:after="0"/>
        <w:jc w:val="both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1071738" cy="1290918"/>
            <wp:effectExtent l="19050" t="0" r="0" b="0"/>
            <wp:docPr id="1" name="Image 1" descr="http://www6.bordeaux-aquitaine.inra.fr/var/internet_bordeaux_aquitaine_nutrineuro/storage/images/media/images/bosch-clementine2/37202-2-eng-GB/bosch-clementin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6.bordeaux-aquitaine.inra.fr/var/internet_bordeaux_aquitaine_nutrineuro/storage/images/media/images/bosch-clementine2/37202-2-eng-GB/bosch-clementine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6" cy="129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E24A13" w:rsidRPr="00AD14A2" w:rsidRDefault="00991CFC" w:rsidP="002311ED">
      <w:pPr>
        <w:spacing w:after="0"/>
        <w:ind w:firstLine="708"/>
        <w:jc w:val="both"/>
      </w:pPr>
      <w:r w:rsidRPr="00AD14A2">
        <w:t>J’ai fait mes études en Neurosciences à Poitiers</w:t>
      </w:r>
      <w:r w:rsidR="00093F88" w:rsidRPr="00AD14A2">
        <w:t xml:space="preserve"> (2003-2006)</w:t>
      </w:r>
      <w:r w:rsidRPr="00AD14A2">
        <w:t xml:space="preserve"> puis à l’UPMC de Paris</w:t>
      </w:r>
      <w:r w:rsidR="00093F88" w:rsidRPr="00AD14A2">
        <w:t xml:space="preserve"> (2006-2008)</w:t>
      </w:r>
      <w:r w:rsidRPr="00AD14A2">
        <w:t>. Mes recherches ont toujours porté sur la pathophysiologie de la maladie de Parkinson et je me suis spécialisée dans les techniques d’électrophysiologie et d’</w:t>
      </w:r>
      <w:proofErr w:type="spellStart"/>
      <w:r w:rsidRPr="00AD14A2">
        <w:t>optogénétique</w:t>
      </w:r>
      <w:proofErr w:type="spellEnd"/>
      <w:r w:rsidRPr="00AD14A2">
        <w:t xml:space="preserve">. J’ai fait ma thèse au collège de France de 2008 à 2011 </w:t>
      </w:r>
      <w:r w:rsidR="00786935" w:rsidRPr="00AD14A2">
        <w:t>(</w:t>
      </w:r>
      <w:hyperlink r:id="rId5" w:history="1">
        <w:r w:rsidR="00786935" w:rsidRPr="00AD14A2">
          <w:rPr>
            <w:rStyle w:val="Lienhypertexte"/>
          </w:rPr>
          <w:t>http://www.college-de-france.fr/site/en-cirb/venance.htm</w:t>
        </w:r>
      </w:hyperlink>
      <w:r w:rsidR="00786935" w:rsidRPr="00AD14A2">
        <w:t xml:space="preserve">) </w:t>
      </w:r>
      <w:r w:rsidR="00F31478" w:rsidRPr="00AD14A2">
        <w:t>sous la direction d</w:t>
      </w:r>
      <w:r w:rsidR="00D84E2A" w:rsidRPr="00AD14A2">
        <w:t xml:space="preserve">u Dr Laurent </w:t>
      </w:r>
      <w:proofErr w:type="spellStart"/>
      <w:r w:rsidR="00D84E2A" w:rsidRPr="00AD14A2">
        <w:t>Venance</w:t>
      </w:r>
      <w:proofErr w:type="spellEnd"/>
      <w:r w:rsidR="00D84E2A" w:rsidRPr="00AD14A2">
        <w:t xml:space="preserve"> </w:t>
      </w:r>
      <w:r w:rsidRPr="00AD14A2">
        <w:t>où j’ai app</w:t>
      </w:r>
      <w:r w:rsidR="00F31478" w:rsidRPr="00AD14A2">
        <w:t>ris la technique de patch-clamp. J</w:t>
      </w:r>
      <w:r w:rsidRPr="00AD14A2">
        <w:t>’ai démontr</w:t>
      </w:r>
      <w:r w:rsidR="00F31478" w:rsidRPr="00AD14A2">
        <w:t>é</w:t>
      </w:r>
      <w:r w:rsidRPr="00AD14A2">
        <w:t xml:space="preserve"> un des mécanismes d’action de la stimulation cérébrale profonde utilisée pour traiter les patients atteints de la maladie de Parkinson. </w:t>
      </w:r>
      <w:r w:rsidR="00F31478" w:rsidRPr="00AD14A2">
        <w:t>J’ai réalisé mon premier</w:t>
      </w:r>
      <w:r w:rsidRPr="00AD14A2">
        <w:t xml:space="preserve"> post-doc (2011-2013) en Nouvelle-Zélande</w:t>
      </w:r>
      <w:r w:rsidR="00786935" w:rsidRPr="00AD14A2">
        <w:t xml:space="preserve"> </w:t>
      </w:r>
      <w:r w:rsidR="00D84E2A" w:rsidRPr="00AD14A2">
        <w:t>à l’Université d’</w:t>
      </w:r>
      <w:proofErr w:type="spellStart"/>
      <w:r w:rsidR="00D84E2A" w:rsidRPr="00AD14A2">
        <w:t>Otago</w:t>
      </w:r>
      <w:proofErr w:type="spellEnd"/>
      <w:r w:rsidR="00D84E2A" w:rsidRPr="00AD14A2">
        <w:t xml:space="preserve"> sous la direction du Dr Louise </w:t>
      </w:r>
      <w:proofErr w:type="spellStart"/>
      <w:r w:rsidR="00D84E2A" w:rsidRPr="00AD14A2">
        <w:t>Parr</w:t>
      </w:r>
      <w:proofErr w:type="spellEnd"/>
      <w:r w:rsidR="00D84E2A" w:rsidRPr="00AD14A2">
        <w:t>-</w:t>
      </w:r>
      <w:proofErr w:type="spellStart"/>
      <w:r w:rsidR="00D84E2A" w:rsidRPr="00AD14A2">
        <w:t>Brownlie</w:t>
      </w:r>
      <w:proofErr w:type="spellEnd"/>
      <w:r w:rsidR="00D84E2A" w:rsidRPr="00AD14A2">
        <w:t xml:space="preserve"> </w:t>
      </w:r>
      <w:r w:rsidR="00786935" w:rsidRPr="00AD14A2">
        <w:t>(</w:t>
      </w:r>
      <w:hyperlink r:id="rId6" w:history="1">
        <w:r w:rsidR="00D84E2A" w:rsidRPr="00AD14A2">
          <w:rPr>
            <w:rStyle w:val="Lienhypertexte"/>
          </w:rPr>
          <w:t>http://bgrg.otago.ac.nz/index.php/louise-parr-brownlie</w:t>
        </w:r>
      </w:hyperlink>
      <w:r w:rsidR="00786935" w:rsidRPr="00AD14A2">
        <w:t>)</w:t>
      </w:r>
      <w:r w:rsidRPr="00AD14A2">
        <w:t>, où je me suis formée aux techniques d’enregi</w:t>
      </w:r>
      <w:r w:rsidR="00F4572B">
        <w:t xml:space="preserve">strements </w:t>
      </w:r>
      <w:proofErr w:type="spellStart"/>
      <w:r w:rsidR="00F4572B">
        <w:t>électrophysiologiques</w:t>
      </w:r>
      <w:proofErr w:type="spellEnd"/>
      <w:r w:rsidR="00F4572B">
        <w:t xml:space="preserve"> </w:t>
      </w:r>
      <w:r w:rsidRPr="00AD14A2">
        <w:t>chez l’animal éveillé</w:t>
      </w:r>
      <w:r w:rsidR="00F31478" w:rsidRPr="00AD14A2">
        <w:t>.</w:t>
      </w:r>
      <w:r w:rsidRPr="00AD14A2">
        <w:t xml:space="preserve"> </w:t>
      </w:r>
      <w:r w:rsidR="00F31478" w:rsidRPr="00AD14A2">
        <w:t>J</w:t>
      </w:r>
      <w:r w:rsidRPr="00AD14A2">
        <w:t xml:space="preserve">’ai mis en place tout le dispositif </w:t>
      </w:r>
      <w:r w:rsidR="00D84E2A" w:rsidRPr="00AD14A2">
        <w:t xml:space="preserve">nécessaire </w:t>
      </w:r>
      <w:r w:rsidR="00F31478" w:rsidRPr="00AD14A2">
        <w:t xml:space="preserve">à la réalisation de  </w:t>
      </w:r>
      <w:r w:rsidRPr="00AD14A2">
        <w:t xml:space="preserve">stimulations par </w:t>
      </w:r>
      <w:proofErr w:type="spellStart"/>
      <w:r w:rsidRPr="00AD14A2">
        <w:t>optogénétique</w:t>
      </w:r>
      <w:proofErr w:type="spellEnd"/>
      <w:r w:rsidRPr="00AD14A2">
        <w:t xml:space="preserve"> couplées aux enregistrements électrophysiologiques</w:t>
      </w:r>
      <w:r w:rsidR="00786935" w:rsidRPr="00AD14A2">
        <w:t xml:space="preserve"> </w:t>
      </w:r>
      <w:r w:rsidR="00D660C5" w:rsidRPr="00AD14A2">
        <w:rPr>
          <w:i/>
        </w:rPr>
        <w:t>in vivo</w:t>
      </w:r>
      <w:r w:rsidRPr="00AD14A2">
        <w:t xml:space="preserve">. </w:t>
      </w:r>
    </w:p>
    <w:p w:rsidR="006B1AC7" w:rsidRPr="00AD14A2" w:rsidRDefault="00F31478" w:rsidP="00AD14A2">
      <w:pPr>
        <w:spacing w:after="0"/>
        <w:ind w:firstLine="708"/>
        <w:jc w:val="both"/>
      </w:pPr>
      <w:r w:rsidRPr="00AD14A2">
        <w:t xml:space="preserve">J’ai débuté un </w:t>
      </w:r>
      <w:r w:rsidR="00D84E2A" w:rsidRPr="00AD14A2">
        <w:t>2</w:t>
      </w:r>
      <w:r w:rsidR="00D84E2A" w:rsidRPr="00AD14A2">
        <w:rPr>
          <w:vertAlign w:val="superscript"/>
        </w:rPr>
        <w:t>ème</w:t>
      </w:r>
      <w:r w:rsidR="00D84E2A" w:rsidRPr="00AD14A2">
        <w:t xml:space="preserve"> </w:t>
      </w:r>
      <w:proofErr w:type="spellStart"/>
      <w:r w:rsidRPr="00AD14A2">
        <w:t>postdoc</w:t>
      </w:r>
      <w:proofErr w:type="spellEnd"/>
      <w:r w:rsidRPr="00AD14A2">
        <w:t xml:space="preserve"> e</w:t>
      </w:r>
      <w:r w:rsidR="00991CFC" w:rsidRPr="00AD14A2">
        <w:t xml:space="preserve">n 2014, </w:t>
      </w:r>
      <w:r w:rsidRPr="00AD14A2">
        <w:t>au sein du laboratoire</w:t>
      </w:r>
      <w:r w:rsidR="00991CFC" w:rsidRPr="00AD14A2">
        <w:t xml:space="preserve"> </w:t>
      </w:r>
      <w:proofErr w:type="spellStart"/>
      <w:r w:rsidR="00991CFC" w:rsidRPr="00AD14A2">
        <w:t>NutriNeuro</w:t>
      </w:r>
      <w:proofErr w:type="spellEnd"/>
      <w:r w:rsidR="00991CFC" w:rsidRPr="00AD14A2">
        <w:t xml:space="preserve"> </w:t>
      </w:r>
      <w:r w:rsidR="00B00612" w:rsidRPr="00AD14A2">
        <w:t xml:space="preserve">pour </w:t>
      </w:r>
      <w:r w:rsidR="00991CFC" w:rsidRPr="00AD14A2">
        <w:t xml:space="preserve">apporter mes compétences en électrophysiologie </w:t>
      </w:r>
      <w:r w:rsidR="009A5EF8" w:rsidRPr="00AD14A2">
        <w:t>dans le but</w:t>
      </w:r>
      <w:r w:rsidR="00786935" w:rsidRPr="00AD14A2">
        <w:t xml:space="preserve"> de mieux comprendre le rôle des </w:t>
      </w:r>
      <w:r w:rsidR="006B1AC7" w:rsidRPr="00AD14A2">
        <w:t>AGPI</w:t>
      </w:r>
      <w:r w:rsidR="009A5EF8" w:rsidRPr="00AD14A2">
        <w:t xml:space="preserve"> (Ac</w:t>
      </w:r>
      <w:r w:rsidR="006B1AC7" w:rsidRPr="00AD14A2">
        <w:t xml:space="preserve">ides gras </w:t>
      </w:r>
      <w:r w:rsidR="00D84E2A" w:rsidRPr="00AD14A2">
        <w:t>polyinsaturés</w:t>
      </w:r>
      <w:r w:rsidR="009A5EF8" w:rsidRPr="00AD14A2">
        <w:t>)</w:t>
      </w:r>
      <w:r w:rsidR="00786935" w:rsidRPr="00AD14A2">
        <w:t xml:space="preserve"> dans le fonctionnement du cerveau</w:t>
      </w:r>
      <w:r w:rsidR="009A5EF8" w:rsidRPr="00AD14A2">
        <w:t xml:space="preserve"> et en particulier dans la dépression</w:t>
      </w:r>
      <w:r w:rsidR="00786935" w:rsidRPr="00AD14A2">
        <w:t xml:space="preserve">. </w:t>
      </w:r>
      <w:r w:rsidR="00BB7BF0" w:rsidRPr="00AD14A2">
        <w:t xml:space="preserve">Nous nous intéressons particulièrement au système </w:t>
      </w:r>
      <w:proofErr w:type="spellStart"/>
      <w:r w:rsidR="00BB7BF0" w:rsidRPr="00AD14A2">
        <w:t>endocannabinoide</w:t>
      </w:r>
      <w:proofErr w:type="spellEnd"/>
      <w:r w:rsidR="00BB7BF0" w:rsidRPr="00AD14A2">
        <w:t xml:space="preserve"> fortement impliqu</w:t>
      </w:r>
      <w:r w:rsidR="006B1AC7" w:rsidRPr="00AD14A2">
        <w:t>é</w:t>
      </w:r>
      <w:r w:rsidR="00BB7BF0" w:rsidRPr="00AD14A2">
        <w:t xml:space="preserve"> dans la dépression et dont la fonctionnalité dépend de la teneur en AGPI dans le cerveau comme l’a montré une étude menée à </w:t>
      </w:r>
      <w:proofErr w:type="spellStart"/>
      <w:r w:rsidR="00BB7BF0" w:rsidRPr="00AD14A2">
        <w:t>NutriNeuro</w:t>
      </w:r>
      <w:proofErr w:type="spellEnd"/>
      <w:r w:rsidR="00BB7BF0" w:rsidRPr="00AD14A2">
        <w:t xml:space="preserve"> (</w:t>
      </w:r>
      <w:proofErr w:type="spellStart"/>
      <w:r w:rsidR="00D84E2A" w:rsidRPr="00AD14A2">
        <w:t>L</w:t>
      </w:r>
      <w:r w:rsidR="00BB7BF0" w:rsidRPr="00AD14A2">
        <w:t>afourcade</w:t>
      </w:r>
      <w:proofErr w:type="spellEnd"/>
      <w:r w:rsidR="00D84E2A" w:rsidRPr="00AD14A2">
        <w:t xml:space="preserve"> et </w:t>
      </w:r>
      <w:proofErr w:type="gramStart"/>
      <w:r w:rsidR="00D84E2A" w:rsidRPr="00AD14A2">
        <w:t>al.,</w:t>
      </w:r>
      <w:proofErr w:type="gramEnd"/>
      <w:r w:rsidR="00D84E2A" w:rsidRPr="00AD14A2">
        <w:t xml:space="preserve"> 2011 ;</w:t>
      </w:r>
      <w:r w:rsidR="00BB7BF0" w:rsidRPr="00AD14A2">
        <w:t xml:space="preserve"> </w:t>
      </w:r>
      <w:proofErr w:type="spellStart"/>
      <w:r w:rsidR="00BB7BF0" w:rsidRPr="00AD14A2">
        <w:t>Larrieu</w:t>
      </w:r>
      <w:proofErr w:type="spellEnd"/>
      <w:r w:rsidR="00BB7BF0" w:rsidRPr="00AD14A2">
        <w:t xml:space="preserve"> et al </w:t>
      </w:r>
      <w:r w:rsidR="00D84E2A" w:rsidRPr="00AD14A2">
        <w:t>2012</w:t>
      </w:r>
      <w:r w:rsidR="00BB7BF0" w:rsidRPr="00AD14A2">
        <w:t xml:space="preserve">). Nous pensons en effet que de mieux comprendre les relations entre dépression, </w:t>
      </w:r>
      <w:proofErr w:type="spellStart"/>
      <w:r w:rsidR="00D84E2A" w:rsidRPr="00AD14A2">
        <w:t>AGPi</w:t>
      </w:r>
      <w:proofErr w:type="spellEnd"/>
      <w:r w:rsidR="00BB7BF0" w:rsidRPr="00AD14A2">
        <w:t xml:space="preserve"> et </w:t>
      </w:r>
      <w:proofErr w:type="spellStart"/>
      <w:r w:rsidR="00BB7BF0" w:rsidRPr="00AD14A2">
        <w:t>endocannabinoides</w:t>
      </w:r>
      <w:proofErr w:type="spellEnd"/>
      <w:r w:rsidR="00BB7BF0" w:rsidRPr="00AD14A2">
        <w:t xml:space="preserve"> est une piste très prometteuse pour la mise au point de nouvelles stratégies thérapeutiques</w:t>
      </w:r>
      <w:r w:rsidR="00D84E2A" w:rsidRPr="00AD14A2">
        <w:t>.</w:t>
      </w:r>
      <w:r w:rsidR="00BB7BF0" w:rsidRPr="00AD14A2">
        <w:t xml:space="preserve"> </w:t>
      </w:r>
      <w:r w:rsidR="00786935" w:rsidRPr="00AD14A2">
        <w:t xml:space="preserve"> Pour cela, </w:t>
      </w:r>
      <w:r w:rsidR="009A5EF8" w:rsidRPr="00AD14A2">
        <w:t xml:space="preserve">nous </w:t>
      </w:r>
      <w:r w:rsidR="00786935" w:rsidRPr="00AD14A2">
        <w:t>utilis</w:t>
      </w:r>
      <w:r w:rsidR="009A5EF8" w:rsidRPr="00AD14A2">
        <w:t>ons</w:t>
      </w:r>
      <w:r w:rsidR="00786935" w:rsidRPr="00AD14A2">
        <w:t xml:space="preserve"> un protocole de défaite sociale </w:t>
      </w:r>
      <w:r w:rsidR="009A5EF8" w:rsidRPr="00AD14A2">
        <w:t xml:space="preserve">induisant </w:t>
      </w:r>
      <w:r w:rsidR="00786935" w:rsidRPr="00AD14A2">
        <w:t>des symptômes dépressifs et anxieux chez la souris</w:t>
      </w:r>
      <w:r w:rsidR="006B1AC7" w:rsidRPr="00AD14A2">
        <w:t>,</w:t>
      </w:r>
      <w:r w:rsidR="00163FC7" w:rsidRPr="00AD14A2">
        <w:t xml:space="preserve"> </w:t>
      </w:r>
      <w:r w:rsidR="009A5EF8" w:rsidRPr="00AD14A2">
        <w:lastRenderedPageBreak/>
        <w:t>couplé à</w:t>
      </w:r>
      <w:r w:rsidR="00163FC7" w:rsidRPr="00AD14A2">
        <w:t xml:space="preserve"> la technique d</w:t>
      </w:r>
      <w:r w:rsidR="00093F88" w:rsidRPr="00AD14A2">
        <w:t>e</w:t>
      </w:r>
      <w:r w:rsidR="00163FC7" w:rsidRPr="00AD14A2">
        <w:t xml:space="preserve"> patch-clamp</w:t>
      </w:r>
      <w:r w:rsidR="006B1AC7" w:rsidRPr="00AD14A2">
        <w:t xml:space="preserve">, nous </w:t>
      </w:r>
      <w:r w:rsidR="00164A51" w:rsidRPr="00AD14A2">
        <w:t>permettant</w:t>
      </w:r>
      <w:r w:rsidR="006B1AC7" w:rsidRPr="00AD14A2">
        <w:t xml:space="preserve"> ainsi évaluer  </w:t>
      </w:r>
      <w:r w:rsidR="00786935" w:rsidRPr="00AD14A2">
        <w:t xml:space="preserve">l’état du système </w:t>
      </w:r>
      <w:proofErr w:type="spellStart"/>
      <w:r w:rsidR="00786935" w:rsidRPr="00AD14A2">
        <w:t>endocannabinoide</w:t>
      </w:r>
      <w:proofErr w:type="spellEnd"/>
      <w:r w:rsidR="00BB7BF0" w:rsidRPr="00AD14A2">
        <w:t xml:space="preserve"> </w:t>
      </w:r>
      <w:r w:rsidR="006B1AC7" w:rsidRPr="00AD14A2">
        <w:t>chez ces animaux</w:t>
      </w:r>
      <w:r w:rsidR="00D84E2A" w:rsidRPr="00AD14A2">
        <w:t>.</w:t>
      </w:r>
    </w:p>
    <w:p w:rsidR="00132532" w:rsidRDefault="00786935" w:rsidP="00206897">
      <w:pPr>
        <w:spacing w:after="0"/>
        <w:jc w:val="both"/>
      </w:pPr>
      <w:r w:rsidRPr="00AD14A2">
        <w:t xml:space="preserve"> </w:t>
      </w:r>
      <w:r w:rsidR="00AD14A2" w:rsidRPr="00AD14A2">
        <w:tab/>
      </w:r>
      <w:r w:rsidRPr="00AD14A2">
        <w:t xml:space="preserve">Pour </w:t>
      </w:r>
      <w:r w:rsidR="006B1AC7" w:rsidRPr="00AD14A2">
        <w:t>l’évolution</w:t>
      </w:r>
      <w:r w:rsidRPr="00AD14A2">
        <w:t xml:space="preserve"> de ce projet, j’envisage de mettre au point </w:t>
      </w:r>
      <w:r w:rsidR="00164A51" w:rsidRPr="00AD14A2">
        <w:t>d</w:t>
      </w:r>
      <w:r w:rsidRPr="00AD14A2">
        <w:t>es techniques d’</w:t>
      </w:r>
      <w:proofErr w:type="spellStart"/>
      <w:r w:rsidRPr="00AD14A2">
        <w:t>optogénétique</w:t>
      </w:r>
      <w:proofErr w:type="spellEnd"/>
      <w:r w:rsidRPr="00AD14A2">
        <w:t xml:space="preserve"> et d’enregistrements </w:t>
      </w:r>
      <w:proofErr w:type="spellStart"/>
      <w:r w:rsidRPr="00AD14A2">
        <w:t>électrophysiologiques</w:t>
      </w:r>
      <w:proofErr w:type="spellEnd"/>
      <w:r w:rsidRPr="00AD14A2">
        <w:t xml:space="preserve"> chez l’animal vigil. </w:t>
      </w:r>
      <w:r w:rsidR="006B1AC7" w:rsidRPr="00AD14A2">
        <w:t>P</w:t>
      </w:r>
      <w:r w:rsidR="00E24A13" w:rsidRPr="00AD14A2">
        <w:t>arallèle</w:t>
      </w:r>
      <w:r w:rsidR="006B1AC7" w:rsidRPr="00AD14A2">
        <w:t>ment à mon projet</w:t>
      </w:r>
      <w:r w:rsidR="00E24A13" w:rsidRPr="00AD14A2">
        <w:t xml:space="preserve">, j’interagis avec les autres chercheurs de </w:t>
      </w:r>
      <w:proofErr w:type="spellStart"/>
      <w:r w:rsidR="00E24A13" w:rsidRPr="00AD14A2">
        <w:t>NutriNeuro</w:t>
      </w:r>
      <w:proofErr w:type="spellEnd"/>
      <w:r w:rsidR="00E24A13" w:rsidRPr="00AD14A2">
        <w:t xml:space="preserve"> pour apporter m</w:t>
      </w:r>
      <w:r w:rsidR="00206897" w:rsidRPr="00AD14A2">
        <w:t>es</w:t>
      </w:r>
      <w:r w:rsidR="00E24A13" w:rsidRPr="00AD14A2">
        <w:t xml:space="preserve"> compétence</w:t>
      </w:r>
      <w:r w:rsidR="00206897" w:rsidRPr="00AD14A2">
        <w:t>s en</w:t>
      </w:r>
      <w:r w:rsidR="00E24A13" w:rsidRPr="00AD14A2">
        <w:t xml:space="preserve"> électrophysiologi</w:t>
      </w:r>
      <w:r w:rsidR="00206897" w:rsidRPr="00AD14A2">
        <w:t>e</w:t>
      </w:r>
      <w:r w:rsidR="00E24A13" w:rsidRPr="00AD14A2">
        <w:t xml:space="preserve"> à leurs </w:t>
      </w:r>
      <w:r w:rsidR="00164A51" w:rsidRPr="00AD14A2">
        <w:t>études</w:t>
      </w:r>
      <w:r w:rsidR="00E24A13" w:rsidRPr="00AD14A2">
        <w:t xml:space="preserve">. </w:t>
      </w:r>
      <w:r w:rsidR="006B1AC7" w:rsidRPr="00AD14A2">
        <w:t>Mon</w:t>
      </w:r>
      <w:r w:rsidRPr="00AD14A2">
        <w:t xml:space="preserve"> post-doc</w:t>
      </w:r>
      <w:r w:rsidR="006B1AC7" w:rsidRPr="00AD14A2">
        <w:t xml:space="preserve"> </w:t>
      </w:r>
      <w:r w:rsidR="00D84E2A" w:rsidRPr="00AD14A2">
        <w:t xml:space="preserve">à </w:t>
      </w:r>
      <w:proofErr w:type="spellStart"/>
      <w:r w:rsidR="00D84E2A" w:rsidRPr="00AD14A2">
        <w:t>NutriNeuro</w:t>
      </w:r>
      <w:proofErr w:type="spellEnd"/>
      <w:r w:rsidR="00D84E2A" w:rsidRPr="00AD14A2">
        <w:t xml:space="preserve"> </w:t>
      </w:r>
      <w:r w:rsidR="006B1AC7" w:rsidRPr="00AD14A2">
        <w:t xml:space="preserve">est </w:t>
      </w:r>
      <w:proofErr w:type="spellStart"/>
      <w:r w:rsidRPr="00AD14A2">
        <w:t>co-financé</w:t>
      </w:r>
      <w:proofErr w:type="spellEnd"/>
      <w:r w:rsidRPr="00AD14A2">
        <w:t xml:space="preserve"> </w:t>
      </w:r>
      <w:r w:rsidR="007D6547" w:rsidRPr="00AD14A2">
        <w:t xml:space="preserve">jusqu’en 2016 </w:t>
      </w:r>
      <w:r w:rsidRPr="00AD14A2">
        <w:t xml:space="preserve">par l’ANR et </w:t>
      </w:r>
      <w:proofErr w:type="spellStart"/>
      <w:r w:rsidRPr="00AD14A2">
        <w:t>Agreenskills</w:t>
      </w:r>
      <w:proofErr w:type="spellEnd"/>
      <w:r w:rsidRPr="00AD14A2">
        <w:t>, un pro</w:t>
      </w:r>
      <w:r w:rsidR="00163FC7" w:rsidRPr="00AD14A2">
        <w:t>gramme</w:t>
      </w:r>
      <w:r w:rsidRPr="00AD14A2">
        <w:t xml:space="preserve"> européen de soutien aux post-doc</w:t>
      </w:r>
      <w:r w:rsidR="00163FC7" w:rsidRPr="00AD14A2">
        <w:t>s</w:t>
      </w:r>
      <w:r w:rsidRPr="00AD14A2">
        <w:t xml:space="preserve"> dans les domaines de l’alimentation, de l’agriculture et de l’environnement (</w:t>
      </w:r>
      <w:hyperlink r:id="rId7" w:history="1">
        <w:r w:rsidR="00EC67C1" w:rsidRPr="00AD14A2">
          <w:rPr>
            <w:rStyle w:val="Lienhypertexte"/>
          </w:rPr>
          <w:t>http://www.agreenskills.eu/</w:t>
        </w:r>
      </w:hyperlink>
      <w:r w:rsidRPr="00AD14A2">
        <w:t>).</w:t>
      </w:r>
    </w:p>
    <w:p w:rsidR="002311ED" w:rsidRPr="00AD14A2" w:rsidRDefault="002311ED" w:rsidP="00206897">
      <w:pPr>
        <w:spacing w:after="0"/>
        <w:jc w:val="both"/>
      </w:pP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US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US" w:eastAsia="fr-FR"/>
        </w:rPr>
        <w:t xml:space="preserve">   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Bosch-</w:t>
      </w:r>
      <w:proofErr w:type="spellStart"/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Bouju</w:t>
      </w:r>
      <w:proofErr w:type="spellEnd"/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 xml:space="preserve"> C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Smither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R, Hyland BI, Parr-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Brownlie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LC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 xml:space="preserve">(2014) 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Reduced reach-related modulation of motor thalamus neural activity in a rat model of Parkinson’s disease. </w:t>
      </w:r>
      <w:r w:rsidRPr="00AD14A2">
        <w:rPr>
          <w:rFonts w:ascii="Times New Roman" w:eastAsia="Times New Roman" w:hAnsi="Times New Roman" w:cs="Arial"/>
          <w:b/>
          <w:bCs/>
          <w:i/>
          <w:sz w:val="20"/>
          <w:szCs w:val="20"/>
          <w:lang w:val="en-US" w:eastAsia="fr-FR"/>
        </w:rPr>
        <w:t>Journal of Neuroscience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, Accepted.</w:t>
      </w: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US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US" w:eastAsia="fr-FR"/>
        </w:rPr>
        <w:t xml:space="preserve">     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Bosch-</w:t>
      </w:r>
      <w:proofErr w:type="spellStart"/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Bouju</w:t>
      </w:r>
      <w:proofErr w:type="spellEnd"/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 xml:space="preserve"> C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, Hyland BI, Parr-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Brownlie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LC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(2013)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Motor thalamus integration of cortical,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cerebellar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and basal ganglia information : implications for normal and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parkinsonian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conditions. </w:t>
      </w:r>
      <w:r w:rsidRPr="00AD14A2">
        <w:rPr>
          <w:rFonts w:ascii="Times New Roman" w:eastAsia="Times New Roman" w:hAnsi="Times New Roman" w:cs="Arial"/>
          <w:b/>
          <w:bCs/>
          <w:i/>
          <w:sz w:val="20"/>
          <w:szCs w:val="20"/>
          <w:lang w:val="en-US" w:eastAsia="fr-FR"/>
        </w:rPr>
        <w:t>Frontiers in Computational Neuroscience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</w:t>
      </w:r>
      <w:proofErr w:type="gram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7 :</w:t>
      </w:r>
      <w:proofErr w:type="gram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163. </w:t>
      </w: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US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US" w:eastAsia="fr-FR"/>
        </w:rPr>
        <w:t xml:space="preserve">      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Nelson MJ,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>Bosch C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Venance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L,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Pouget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P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US" w:eastAsia="fr-FR"/>
        </w:rPr>
        <w:t xml:space="preserve">(2013)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Microscale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>inhomogeneity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of brain tissue distorts electrical signal propagation. </w:t>
      </w:r>
      <w:proofErr w:type="gramStart"/>
      <w:r w:rsidRPr="00AD14A2">
        <w:rPr>
          <w:rFonts w:ascii="Times New Roman" w:eastAsia="Times New Roman" w:hAnsi="Times New Roman" w:cs="Arial"/>
          <w:b/>
          <w:bCs/>
          <w:i/>
          <w:sz w:val="20"/>
          <w:szCs w:val="20"/>
          <w:lang w:val="en-US" w:eastAsia="fr-FR"/>
        </w:rPr>
        <w:t>Journal of Neuroscience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US" w:eastAsia="fr-FR"/>
        </w:rPr>
        <w:t xml:space="preserve"> 33, 2821-2828.</w:t>
      </w:r>
      <w:proofErr w:type="gramEnd"/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GB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GB" w:eastAsia="fr-FR"/>
        </w:rPr>
        <w:t xml:space="preserve">     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GB" w:eastAsia="fr-FR"/>
        </w:rPr>
        <w:t>Bosch C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Mailly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P,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Degos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B,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Deniau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JM,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Venance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L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GB" w:eastAsia="fr-FR"/>
        </w:rPr>
        <w:t>(2012)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Preservation of the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hyperdirect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pathway of basal ganglia in a rodent brain slice. </w:t>
      </w:r>
      <w:r w:rsidRPr="00AD14A2">
        <w:rPr>
          <w:rFonts w:ascii="Times New Roman" w:eastAsia="Times New Roman" w:hAnsi="Times New Roman" w:cs="Arial"/>
          <w:b/>
          <w:bCs/>
          <w:i/>
          <w:sz w:val="20"/>
          <w:szCs w:val="20"/>
          <w:lang w:val="en-GB" w:eastAsia="fr-FR"/>
        </w:rPr>
        <w:t>Neuroscience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215, 31-41.</w:t>
      </w: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GB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GB" w:eastAsia="fr-FR"/>
        </w:rPr>
        <w:t xml:space="preserve">      </w:t>
      </w:r>
      <w:r w:rsidRPr="00AD14A2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Bosch C</w:t>
      </w:r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Degos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B,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Deniau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JM,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Venance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L </w:t>
      </w:r>
      <w:r w:rsidRPr="00AD14A2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(2011)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Subthalamic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nucleus high frequency stimulation generates a concomitant synaptic excitation-inhibition in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substantia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nigra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Pr="00AD14A2">
        <w:rPr>
          <w:rFonts w:ascii="Times New Roman" w:eastAsia="Times New Roman" w:hAnsi="Times New Roman" w:cs="Times New Roman"/>
          <w:i/>
          <w:sz w:val="20"/>
          <w:szCs w:val="20"/>
          <w:lang w:val="en-US" w:eastAsia="fr-FR"/>
        </w:rPr>
        <w:t xml:space="preserve">pars </w:t>
      </w:r>
      <w:proofErr w:type="spellStart"/>
      <w:r w:rsidRPr="00AD14A2">
        <w:rPr>
          <w:rFonts w:ascii="Times New Roman" w:eastAsia="Times New Roman" w:hAnsi="Times New Roman" w:cs="Times New Roman"/>
          <w:i/>
          <w:sz w:val="20"/>
          <w:szCs w:val="20"/>
          <w:lang w:val="en-US" w:eastAsia="fr-FR"/>
        </w:rPr>
        <w:t>reticulata</w:t>
      </w:r>
      <w:proofErr w:type="spellEnd"/>
      <w:r w:rsidRPr="00AD14A2">
        <w:rPr>
          <w:rFonts w:ascii="Times New Roman" w:eastAsia="Times New Roman" w:hAnsi="Times New Roman" w:cs="Times New Roman"/>
          <w:i/>
          <w:sz w:val="20"/>
          <w:szCs w:val="20"/>
          <w:lang w:val="en-US" w:eastAsia="fr-FR"/>
        </w:rPr>
        <w:t>.</w:t>
      </w:r>
      <w:r w:rsidRPr="00AD14A2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r w:rsidRPr="00AD14A2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fr-FR"/>
        </w:rPr>
        <w:t xml:space="preserve">J </w:t>
      </w:r>
      <w:proofErr w:type="spellStart"/>
      <w:r w:rsidRPr="00AD14A2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fr-FR"/>
        </w:rPr>
        <w:t>Physiol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589:4189-4207.</w:t>
      </w: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GB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GB" w:eastAsia="fr-FR"/>
        </w:rPr>
        <w:t xml:space="preserve">     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Deniau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JM, </w:t>
      </w:r>
      <w:proofErr w:type="spellStart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>Degos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B, </w:t>
      </w:r>
      <w:r w:rsidRPr="00AD14A2">
        <w:rPr>
          <w:rFonts w:ascii="Times New Roman" w:eastAsia="Times New Roman" w:hAnsi="Times New Roman" w:cs="Times New Roman"/>
          <w:b/>
          <w:sz w:val="20"/>
          <w:szCs w:val="20"/>
          <w:lang w:val="en-GB" w:eastAsia="fr-FR"/>
        </w:rPr>
        <w:t>Bosch C</w:t>
      </w:r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, Maurice N </w:t>
      </w:r>
      <w:r w:rsidRPr="00AD14A2">
        <w:rPr>
          <w:rFonts w:ascii="Times New Roman" w:eastAsia="Times New Roman" w:hAnsi="Times New Roman" w:cs="Times New Roman"/>
          <w:b/>
          <w:sz w:val="20"/>
          <w:szCs w:val="20"/>
          <w:lang w:val="en-GB" w:eastAsia="fr-FR"/>
        </w:rPr>
        <w:t xml:space="preserve">(2010) </w:t>
      </w:r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Deep brain stimulation mechanisms: beyond the concept of local functional inhibition. </w:t>
      </w:r>
      <w:proofErr w:type="spellStart"/>
      <w:r w:rsidRPr="00AD14A2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fr-FR"/>
        </w:rPr>
        <w:t>Eur</w:t>
      </w:r>
      <w:proofErr w:type="spellEnd"/>
      <w:r w:rsidRPr="00AD14A2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fr-FR"/>
        </w:rPr>
        <w:t xml:space="preserve"> J </w:t>
      </w:r>
      <w:proofErr w:type="spellStart"/>
      <w:r w:rsidRPr="00AD14A2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fr-FR"/>
        </w:rPr>
        <w:t>Neurosci</w:t>
      </w:r>
      <w:proofErr w:type="spellEnd"/>
      <w:r w:rsidRPr="00AD14A2">
        <w:rPr>
          <w:rFonts w:ascii="Times New Roman" w:eastAsia="Times New Roman" w:hAnsi="Times New Roman" w:cs="Times New Roman"/>
          <w:sz w:val="20"/>
          <w:szCs w:val="20"/>
          <w:lang w:val="en-GB" w:eastAsia="fr-FR"/>
        </w:rPr>
        <w:t xml:space="preserve"> 32, 1080-1091.</w:t>
      </w:r>
    </w:p>
    <w:p w:rsidR="00AD14A2" w:rsidRPr="00AD14A2" w:rsidRDefault="00AD14A2" w:rsidP="00AD14A2">
      <w:p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D14A2">
        <w:rPr>
          <w:rFonts w:ascii="Symbol" w:eastAsia="Symbol" w:hAnsi="Symbol" w:cs="Symbol"/>
          <w:bCs/>
          <w:sz w:val="20"/>
          <w:szCs w:val="20"/>
          <w:lang w:val="en-GB" w:eastAsia="fr-FR"/>
        </w:rPr>
        <w:t></w:t>
      </w:r>
      <w:r w:rsidRPr="00AD14A2">
        <w:rPr>
          <w:rFonts w:ascii="Times New Roman" w:eastAsia="Symbol" w:hAnsi="Times New Roman" w:cs="Times New Roman"/>
          <w:bCs/>
          <w:sz w:val="20"/>
          <w:szCs w:val="20"/>
          <w:lang w:val="en-GB" w:eastAsia="fr-FR"/>
        </w:rPr>
        <w:t xml:space="preserve">     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Bertran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-Gonzalez J,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GB" w:eastAsia="fr-FR"/>
        </w:rPr>
        <w:t>Bosch C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Maroteaux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M,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Matamales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M,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Herve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D,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Valjent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E,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Girault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JA </w:t>
      </w:r>
      <w:r w:rsidRPr="00AD14A2">
        <w:rPr>
          <w:rFonts w:ascii="Times New Roman" w:eastAsia="Times New Roman" w:hAnsi="Times New Roman" w:cs="Arial"/>
          <w:b/>
          <w:bCs/>
          <w:sz w:val="20"/>
          <w:szCs w:val="20"/>
          <w:lang w:val="en-GB" w:eastAsia="fr-FR"/>
        </w:rPr>
        <w:t xml:space="preserve">(2008) 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Opposing patterns of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signaling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activation in dopamine D1 and D2 receptor-expressing </w:t>
      </w:r>
      <w:proofErr w:type="spellStart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>striatal</w:t>
      </w:r>
      <w:proofErr w:type="spellEnd"/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neurons in response to cocaine and haloperidol. </w:t>
      </w:r>
      <w:proofErr w:type="gramStart"/>
      <w:r w:rsidRPr="00AD14A2">
        <w:rPr>
          <w:rFonts w:ascii="Times New Roman" w:eastAsia="Times New Roman" w:hAnsi="Times New Roman" w:cs="Arial"/>
          <w:b/>
          <w:bCs/>
          <w:i/>
          <w:sz w:val="20"/>
          <w:szCs w:val="20"/>
          <w:lang w:val="en-GB" w:eastAsia="fr-FR"/>
        </w:rPr>
        <w:t>Journal of Neuroscience</w:t>
      </w:r>
      <w:r w:rsidRPr="00AD14A2">
        <w:rPr>
          <w:rFonts w:ascii="Times New Roman" w:eastAsia="Times New Roman" w:hAnsi="Times New Roman" w:cs="Arial"/>
          <w:bCs/>
          <w:sz w:val="20"/>
          <w:szCs w:val="20"/>
          <w:lang w:val="en-GB" w:eastAsia="fr-FR"/>
        </w:rPr>
        <w:t xml:space="preserve"> 28, 5671-5685.</w:t>
      </w:r>
      <w:proofErr w:type="gramEnd"/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p w:rsidR="002311ED" w:rsidRDefault="002311ED" w:rsidP="00206897">
      <w:pPr>
        <w:spacing w:after="0"/>
        <w:jc w:val="both"/>
        <w:rPr>
          <w:b/>
        </w:rPr>
      </w:pPr>
    </w:p>
    <w:sectPr w:rsidR="002311ED" w:rsidSect="00AD14A2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503"/>
    <w:rsid w:val="00074256"/>
    <w:rsid w:val="00093F88"/>
    <w:rsid w:val="00132532"/>
    <w:rsid w:val="00163FC7"/>
    <w:rsid w:val="00164A51"/>
    <w:rsid w:val="001B4503"/>
    <w:rsid w:val="00206897"/>
    <w:rsid w:val="002311ED"/>
    <w:rsid w:val="0045110F"/>
    <w:rsid w:val="00550F60"/>
    <w:rsid w:val="005F6373"/>
    <w:rsid w:val="006B1AC7"/>
    <w:rsid w:val="00786935"/>
    <w:rsid w:val="007D6547"/>
    <w:rsid w:val="008011C1"/>
    <w:rsid w:val="00880F5F"/>
    <w:rsid w:val="009553B8"/>
    <w:rsid w:val="00991CFC"/>
    <w:rsid w:val="009A5EF8"/>
    <w:rsid w:val="009D5560"/>
    <w:rsid w:val="00A1232B"/>
    <w:rsid w:val="00A803B7"/>
    <w:rsid w:val="00AD14A2"/>
    <w:rsid w:val="00B00612"/>
    <w:rsid w:val="00B967B6"/>
    <w:rsid w:val="00BB7BF0"/>
    <w:rsid w:val="00D660C5"/>
    <w:rsid w:val="00D84E2A"/>
    <w:rsid w:val="00E24A13"/>
    <w:rsid w:val="00EC67C1"/>
    <w:rsid w:val="00F20BF9"/>
    <w:rsid w:val="00F31478"/>
    <w:rsid w:val="00F4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693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3147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47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14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4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4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4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reenskills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grg.otago.ac.nz/index.php/louise-parr-brownlie" TargetMode="External"/><Relationship Id="rId5" Type="http://schemas.openxmlformats.org/officeDocument/2006/relationships/hyperlink" Target="http://www.college-de-france.fr/site/en-cirb/venance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Corinne Joffre</cp:lastModifiedBy>
  <cp:revision>2</cp:revision>
  <dcterms:created xsi:type="dcterms:W3CDTF">2017-01-20T15:06:00Z</dcterms:created>
  <dcterms:modified xsi:type="dcterms:W3CDTF">2017-01-20T15:06:00Z</dcterms:modified>
</cp:coreProperties>
</file>